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B705DA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085ED614" w:rsidR="0075017E" w:rsidRPr="00C84C1E" w:rsidRDefault="009B6DDC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</w:t>
      </w:r>
      <w:r w:rsidR="009E5BF8">
        <w:rPr>
          <w:rFonts w:ascii="Arial Narrow" w:hAnsi="Arial Narrow" w:cs="Times New Roman"/>
          <w:sz w:val="28"/>
          <w:szCs w:val="24"/>
        </w:rPr>
        <w:t>1</w:t>
      </w:r>
      <w:r>
        <w:rPr>
          <w:rFonts w:ascii="Arial Narrow" w:hAnsi="Arial Narrow" w:cs="Times New Roman"/>
          <w:sz w:val="28"/>
          <w:szCs w:val="24"/>
        </w:rPr>
        <w:t>,</w:t>
      </w:r>
      <w:r w:rsidR="009E5BF8">
        <w:rPr>
          <w:rFonts w:ascii="Arial Narrow" w:hAnsi="Arial Narrow" w:cs="Times New Roman"/>
          <w:sz w:val="28"/>
          <w:szCs w:val="24"/>
        </w:rPr>
        <w:t>933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8F75ED" w:rsidRPr="00C84C1E">
        <w:rPr>
          <w:rFonts w:ascii="Arial Narrow" w:hAnsi="Arial Narrow" w:cs="Times New Roman"/>
          <w:sz w:val="28"/>
          <w:szCs w:val="24"/>
        </w:rPr>
        <w:t>HUD Programs</w:t>
      </w:r>
      <w:r w:rsidR="0075017E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1F4DB593" w:rsidR="0075017E" w:rsidRPr="00130AFD" w:rsidRDefault="009B6DDC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4,</w:t>
      </w:r>
      <w:r w:rsidR="009E5BF8">
        <w:rPr>
          <w:rFonts w:ascii="Arial Narrow" w:hAnsi="Arial Narrow" w:cs="Times New Roman"/>
          <w:sz w:val="28"/>
          <w:szCs w:val="24"/>
        </w:rPr>
        <w:t>920</w:t>
      </w:r>
      <w:r>
        <w:rPr>
          <w:rFonts w:ascii="Arial Narrow" w:hAnsi="Arial Narrow" w:cs="Times New Roman"/>
          <w:sz w:val="28"/>
          <w:szCs w:val="24"/>
        </w:rPr>
        <w:t xml:space="preserve"> Section 8 Vouchers help 9</w:t>
      </w:r>
      <w:r w:rsidR="0075017E" w:rsidRPr="00130AFD">
        <w:rPr>
          <w:rFonts w:ascii="Arial Narrow" w:hAnsi="Arial Narrow" w:cs="Times New Roman"/>
          <w:sz w:val="28"/>
          <w:szCs w:val="24"/>
        </w:rPr>
        <w:t>,</w:t>
      </w:r>
      <w:r w:rsidR="009E5BF8">
        <w:rPr>
          <w:rFonts w:ascii="Arial Narrow" w:hAnsi="Arial Narrow" w:cs="Times New Roman"/>
          <w:sz w:val="28"/>
          <w:szCs w:val="24"/>
        </w:rPr>
        <w:t>328</w:t>
      </w:r>
      <w:r w:rsidR="00D837D5" w:rsidRPr="00130AFD">
        <w:rPr>
          <w:rFonts w:ascii="Arial Narrow" w:hAnsi="Arial Narrow" w:cs="Times New Roman"/>
          <w:sz w:val="28"/>
          <w:szCs w:val="24"/>
        </w:rPr>
        <w:t xml:space="preserve"> 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5D0073F4" w14:textId="31D0BEF2" w:rsidR="00FA5BC0" w:rsidRPr="00130AFD" w:rsidRDefault="007E4AC6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2,26</w:t>
      </w:r>
      <w:r w:rsidR="009E5BF8">
        <w:rPr>
          <w:rFonts w:ascii="Arial Narrow" w:hAnsi="Arial Narrow" w:cs="Times New Roman"/>
          <w:sz w:val="28"/>
          <w:szCs w:val="24"/>
        </w:rPr>
        <w:t>4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 serve </w:t>
      </w:r>
      <w:r>
        <w:rPr>
          <w:rFonts w:ascii="Arial Narrow" w:hAnsi="Arial Narrow" w:cs="Times New Roman"/>
          <w:sz w:val="28"/>
          <w:szCs w:val="24"/>
        </w:rPr>
        <w:t>2,6</w:t>
      </w:r>
      <w:r w:rsidR="009E5BF8">
        <w:rPr>
          <w:rFonts w:ascii="Arial Narrow" w:hAnsi="Arial Narrow" w:cs="Times New Roman"/>
          <w:sz w:val="28"/>
          <w:szCs w:val="24"/>
        </w:rPr>
        <w:t>05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799ECCA9" w:rsidR="00FA5BC0" w:rsidRPr="00FA5BC0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01FCE6B9">
                <wp:simplePos x="0" y="0"/>
                <wp:positionH relativeFrom="page">
                  <wp:posOffset>4664710</wp:posOffset>
                </wp:positionH>
                <wp:positionV relativeFrom="paragraph">
                  <wp:posOffset>19685</wp:posOffset>
                </wp:positionV>
                <wp:extent cx="2670048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3216" w14:textId="498F85B9" w:rsidR="008B1CB5" w:rsidRPr="005F4E06" w:rsidRDefault="00380316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Affordable</w:t>
                            </w:r>
                            <w:r w:rsidR="0094171C" w:rsidRPr="005F4E0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 Housing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Riverhead</w:t>
                            </w:r>
                          </w:p>
                          <w:p w14:paraId="44673A67" w14:textId="77777777" w:rsidR="0094171C" w:rsidRPr="00B44DED" w:rsidRDefault="0094171C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E79944C" w14:textId="34A5A20D" w:rsidR="00380316" w:rsidRDefault="00380316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38031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Peconic Crossing created 45 one and two bedroom affordable apartments in downtown Riverhead. The units will be available to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very low-income </w:t>
                            </w:r>
                            <w:r w:rsidRPr="0038031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tenants with preferences given to artists and people displaced by certain storms, including Superstorm Sandy. The four story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project </w:t>
                            </w:r>
                            <w:r w:rsidRPr="0038031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utilized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green</w:t>
                            </w:r>
                            <w:r w:rsidRPr="0038031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building practices. The building will include a community room and ground-level artist gallery for residents to create, collaborate, and live. </w:t>
                            </w:r>
                          </w:p>
                          <w:p w14:paraId="4FEF3221" w14:textId="77777777" w:rsidR="00380316" w:rsidRPr="00B44DED" w:rsidRDefault="00380316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F3A930E" w14:textId="15302D97" w:rsidR="008B1CB5" w:rsidRDefault="001826B0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Federal Investments include</w:t>
                            </w:r>
                            <w:r w:rsidR="00380316" w:rsidRPr="0038031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9% Low Income</w:t>
                            </w:r>
                            <w:r w:rsidR="00B44DE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Housing Tax Credits and CDBG-DR funding</w:t>
                            </w:r>
                            <w:r w:rsidR="00380316" w:rsidRPr="0038031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71EF4B4F" w14:textId="77777777" w:rsidR="00380316" w:rsidRPr="00B44DED" w:rsidRDefault="00380316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5F5F933E" w14:textId="274DE24C" w:rsidR="008B1CB5" w:rsidRPr="005F4E06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noProof/>
                                <w:color w:val="17365D" w:themeColor="text2" w:themeShade="BF"/>
                                <w:sz w:val="24"/>
                              </w:rPr>
                              <w:drawing>
                                <wp:inline distT="0" distB="0" distL="0" distR="0" wp14:anchorId="72528EA1" wp14:editId="0C271B89">
                                  <wp:extent cx="2547294" cy="1431974"/>
                                  <wp:effectExtent l="0" t="0" r="5715" b="0"/>
                                  <wp:docPr id="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7294" cy="1431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  <w:r w:rsidR="0038031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Peconic Crossing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, Suffolk 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1.55pt;width:210.25pt;height:110.55pt;z-index:-25165004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" filled="f" stroked="f">
                <v:textbox style="mso-fit-shape-to-text:t">
                  <w:txbxContent>
                    <w:p w14:paraId="39AD3216" w14:textId="498F85B9" w:rsidR="008B1CB5" w:rsidRPr="005F4E06" w:rsidRDefault="00380316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Affordable</w:t>
                      </w:r>
                      <w:r w:rsidR="0094171C" w:rsidRPr="005F4E0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 Housing in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Riverhead</w:t>
                      </w:r>
                    </w:p>
                    <w:p w14:paraId="44673A67" w14:textId="77777777" w:rsidR="0094171C" w:rsidRPr="00B44DED" w:rsidRDefault="0094171C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E79944C" w14:textId="34A5A20D" w:rsidR="00380316" w:rsidRDefault="00380316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38031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Peconic Crossing created 45 one and two bedroom affordable apartments in downtown Riverhead. The units will be available to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very low-income </w:t>
                      </w:r>
                      <w:r w:rsidRPr="0038031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tenants with preferences given to artists and people displaced by certain storms, including Superstorm Sandy. The four story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project </w:t>
                      </w:r>
                      <w:r w:rsidRPr="0038031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utilized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green</w:t>
                      </w:r>
                      <w:r w:rsidRPr="0038031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building practices. The building will include a community room and ground-level artist gallery for residents to create, collaborate, and live. </w:t>
                      </w:r>
                    </w:p>
                    <w:p w14:paraId="4FEF3221" w14:textId="77777777" w:rsidR="00380316" w:rsidRPr="00B44DED" w:rsidRDefault="00380316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F3A930E" w14:textId="15302D97" w:rsidR="008B1CB5" w:rsidRDefault="001826B0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Federal Investments include</w:t>
                      </w:r>
                      <w:r w:rsidR="00380316" w:rsidRPr="0038031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9% Low Income</w:t>
                      </w:r>
                      <w:r w:rsidR="00B44DE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Housing Tax Credits and CDBG-DR funding</w:t>
                      </w:r>
                      <w:r w:rsidR="00380316" w:rsidRPr="0038031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71EF4B4F" w14:textId="77777777" w:rsidR="00380316" w:rsidRPr="00B44DED" w:rsidRDefault="00380316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5F5F933E" w14:textId="274DE24C" w:rsidR="008B1CB5" w:rsidRPr="005F4E06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noProof/>
                          <w:color w:val="17365D" w:themeColor="text2" w:themeShade="BF"/>
                          <w:sz w:val="24"/>
                        </w:rPr>
                        <w:drawing>
                          <wp:inline distT="0" distB="0" distL="0" distR="0" wp14:anchorId="72528EA1" wp14:editId="0C271B89">
                            <wp:extent cx="2547294" cy="1431974"/>
                            <wp:effectExtent l="0" t="0" r="5715" b="0"/>
                            <wp:docPr id="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7294" cy="1431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  <w:r w:rsidR="0038031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Peconic Crossing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, Suffolk 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49B9" w:rsidRPr="003556E8">
        <w:rPr>
          <w:rFonts w:ascii="Arial Narrow" w:hAnsi="Arial Narrow" w:cs="Times New Roman"/>
          <w:sz w:val="28"/>
          <w:szCs w:val="24"/>
        </w:rPr>
        <w:t>$</w:t>
      </w:r>
      <w:r w:rsidR="00352E8C" w:rsidRPr="003556E8">
        <w:rPr>
          <w:rFonts w:ascii="Arial Narrow" w:hAnsi="Arial Narrow" w:cs="Times New Roman"/>
          <w:sz w:val="28"/>
          <w:szCs w:val="24"/>
        </w:rPr>
        <w:t>315</w:t>
      </w:r>
      <w:r w:rsidR="003556E8">
        <w:rPr>
          <w:rFonts w:ascii="Arial Narrow" w:hAnsi="Arial Narrow" w:cs="Times New Roman"/>
          <w:sz w:val="28"/>
          <w:szCs w:val="24"/>
        </w:rPr>
        <w:t>.3</w:t>
      </w:r>
      <w:r w:rsidR="0075017E" w:rsidRPr="003556E8">
        <w:rPr>
          <w:rFonts w:ascii="Arial Narrow" w:hAnsi="Arial Narrow" w:cs="Times New Roman"/>
          <w:sz w:val="28"/>
          <w:szCs w:val="24"/>
        </w:rPr>
        <w:t xml:space="preserve"> </w:t>
      </w:r>
      <w:r w:rsidR="0094171C" w:rsidRPr="003556E8">
        <w:rPr>
          <w:rFonts w:ascii="Arial Narrow" w:hAnsi="Arial Narrow" w:cs="Times New Roman"/>
          <w:sz w:val="28"/>
          <w:szCs w:val="24"/>
        </w:rPr>
        <w:t xml:space="preserve">million 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in </w:t>
      </w:r>
      <w:r w:rsidR="0075017E" w:rsidRPr="00FA5BC0">
        <w:rPr>
          <w:rFonts w:ascii="Arial Narrow" w:hAnsi="Arial Narrow" w:cs="Times New Roman"/>
          <w:sz w:val="28"/>
          <w:szCs w:val="24"/>
        </w:rPr>
        <w:t xml:space="preserve">CDBG </w:t>
      </w:r>
      <w:r w:rsidR="00380A16" w:rsidRPr="00FA5BC0">
        <w:rPr>
          <w:rFonts w:ascii="Arial Narrow" w:hAnsi="Arial Narrow" w:cs="Times New Roman"/>
          <w:sz w:val="28"/>
          <w:szCs w:val="24"/>
        </w:rPr>
        <w:t>funds</w:t>
      </w:r>
      <w:r w:rsidR="003556E8">
        <w:rPr>
          <w:rStyle w:val="EndnoteReference"/>
          <w:rFonts w:ascii="Arial Narrow" w:hAnsi="Arial Narrow" w:cs="Times New Roman"/>
          <w:sz w:val="28"/>
          <w:szCs w:val="24"/>
        </w:rPr>
        <w:endnoteReference w:id="3"/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annually support </w:t>
      </w:r>
      <w:r w:rsidR="0094171C" w:rsidRPr="00FA5BC0">
        <w:rPr>
          <w:rFonts w:ascii="Arial Narrow" w:hAnsi="Arial Narrow" w:cs="Times New Roman"/>
          <w:sz w:val="28"/>
          <w:szCs w:val="24"/>
        </w:rPr>
        <w:t>statewide</w:t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community </w:t>
      </w:r>
      <w:r w:rsidR="008F75ED" w:rsidRPr="00FA5BC0">
        <w:rPr>
          <w:rFonts w:ascii="Arial Narrow" w:hAnsi="Arial Narrow" w:cs="Times New Roman"/>
          <w:sz w:val="28"/>
          <w:szCs w:val="24"/>
        </w:rPr>
        <w:t>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6B06C83A" w:rsidR="0094171C" w:rsidRPr="00FA5BC0" w:rsidRDefault="004849B9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>$</w:t>
      </w:r>
      <w:r w:rsidR="003556E8" w:rsidRPr="003556E8">
        <w:rPr>
          <w:rFonts w:ascii="Arial Narrow" w:hAnsi="Arial Narrow" w:cs="Times New Roman"/>
          <w:sz w:val="28"/>
          <w:szCs w:val="24"/>
        </w:rPr>
        <w:t>129.7</w:t>
      </w:r>
      <w:r w:rsidR="0075017E" w:rsidRPr="003556E8">
        <w:rPr>
          <w:rFonts w:ascii="Arial Narrow" w:hAnsi="Arial Narrow" w:cs="Times New Roman"/>
          <w:sz w:val="28"/>
          <w:szCs w:val="24"/>
        </w:rPr>
        <w:t xml:space="preserve"> </w:t>
      </w:r>
      <w:r w:rsidR="0094171C" w:rsidRPr="003556E8">
        <w:rPr>
          <w:rFonts w:ascii="Arial Narrow" w:hAnsi="Arial Narrow" w:cs="Times New Roman"/>
          <w:sz w:val="28"/>
          <w:szCs w:val="24"/>
        </w:rPr>
        <w:t xml:space="preserve">million 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in </w:t>
      </w:r>
      <w:r w:rsidR="0075017E" w:rsidRPr="00FA5BC0">
        <w:rPr>
          <w:rFonts w:ascii="Arial Narrow" w:hAnsi="Arial Narrow" w:cs="Times New Roman"/>
          <w:sz w:val="28"/>
          <w:szCs w:val="24"/>
        </w:rPr>
        <w:t xml:space="preserve">HOME </w:t>
      </w:r>
      <w:r w:rsidR="00380A16" w:rsidRPr="00FA5BC0">
        <w:rPr>
          <w:rFonts w:ascii="Arial Narrow" w:hAnsi="Arial Narrow" w:cs="Times New Roman"/>
          <w:sz w:val="28"/>
          <w:szCs w:val="24"/>
        </w:rPr>
        <w:t>funds</w:t>
      </w:r>
      <w:r w:rsidR="008D213A">
        <w:rPr>
          <w:rStyle w:val="EndnoteReference"/>
          <w:rFonts w:ascii="Arial Narrow" w:hAnsi="Arial Narrow" w:cs="Times New Roman"/>
          <w:sz w:val="28"/>
          <w:szCs w:val="24"/>
        </w:rPr>
        <w:endnoteReference w:id="4"/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annually help build affordable rental housing &amp; support homeownership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 across New York state</w:t>
      </w:r>
    </w:p>
    <w:p w14:paraId="2AD3391B" w14:textId="363D9B91" w:rsidR="00E11A57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40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421A55C5" w14:textId="27D70419" w:rsidR="0094171C" w:rsidRPr="00130AFD" w:rsidRDefault="009E5BF8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>9</w:t>
      </w:r>
      <w:r w:rsidR="00A22DFD" w:rsidRPr="00A22DFD">
        <w:rPr>
          <w:rFonts w:ascii="Arial Narrow" w:hAnsi="Arial Narrow" w:cs="Times New Roman"/>
          <w:sz w:val="28"/>
          <w:szCs w:val="24"/>
        </w:rPr>
        <w:t>1,897</w:t>
      </w:r>
      <w:r w:rsidR="0094171C" w:rsidRPr="00A22DFD">
        <w:rPr>
          <w:rFonts w:ascii="Arial Narrow" w:hAnsi="Arial Narrow" w:cs="Times New Roman"/>
          <w:sz w:val="28"/>
          <w:szCs w:val="24"/>
        </w:rPr>
        <w:t xml:space="preserve"> </w:t>
      </w:r>
      <w:r w:rsidR="007A0E79" w:rsidRPr="00130AFD">
        <w:rPr>
          <w:rFonts w:ascii="Arial Narrow" w:hAnsi="Arial Narrow" w:cs="Times New Roman"/>
          <w:sz w:val="28"/>
          <w:szCs w:val="24"/>
        </w:rPr>
        <w:t>homeless</w:t>
      </w:r>
      <w:r w:rsidR="0094171C" w:rsidRPr="00130AFD">
        <w:rPr>
          <w:rFonts w:ascii="Arial Narrow" w:hAnsi="Arial Narrow" w:cs="Times New Roman"/>
          <w:sz w:val="28"/>
          <w:szCs w:val="24"/>
        </w:rPr>
        <w:t xml:space="preserve"> New Yorkers, including more than </w:t>
      </w:r>
      <w:r w:rsidR="0094171C"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="0094171C" w:rsidRPr="00130AFD">
        <w:rPr>
          <w:rFonts w:ascii="Arial Narrow" w:hAnsi="Arial Narrow" w:cs="Times New Roman"/>
          <w:sz w:val="28"/>
          <w:szCs w:val="24"/>
        </w:rPr>
        <w:t>children</w:t>
      </w:r>
      <w:r w:rsidR="009B6DDC"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7593D43" w14:textId="3CB48730" w:rsidR="0094171C" w:rsidRPr="00B705DA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bookmarkStart w:id="1" w:name="_GoBack"/>
      <w:bookmarkEnd w:id="1"/>
      <w:r w:rsidRPr="003556E8">
        <w:rPr>
          <w:rFonts w:ascii="Arial Narrow" w:hAnsi="Arial Narrow" w:cs="Times New Roman"/>
          <w:sz w:val="28"/>
          <w:szCs w:val="24"/>
        </w:rPr>
        <w:t xml:space="preserve">1 </w:t>
      </w:r>
      <w:r w:rsidR="007A0E79" w:rsidRPr="003556E8">
        <w:rPr>
          <w:rFonts w:ascii="Arial Narrow" w:hAnsi="Arial Narrow" w:cs="Times New Roman"/>
          <w:sz w:val="28"/>
          <w:szCs w:val="24"/>
        </w:rPr>
        <w:t xml:space="preserve">million severely rent burdened New York </w:t>
      </w:r>
      <w:r w:rsidR="007A0E79" w:rsidRPr="00B705DA">
        <w:rPr>
          <w:rFonts w:ascii="Arial Narrow" w:hAnsi="Arial Narrow" w:cs="Times New Roman"/>
          <w:sz w:val="28"/>
          <w:szCs w:val="24"/>
        </w:rPr>
        <w:t>families</w:t>
      </w:r>
      <w:r w:rsidRPr="00B705DA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B705DA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B705DA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B705DA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B705DA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0FE7022E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4B2A554B" w14:textId="0803B107" w:rsidR="0094171C" w:rsidRDefault="0094171C" w:rsidP="00ED6B80">
      <w:pPr>
        <w:ind w:hanging="540"/>
        <w:rPr>
          <w:sz w:val="8"/>
          <w:szCs w:val="8"/>
        </w:rPr>
      </w:pPr>
    </w:p>
    <w:sectPr w:rsidR="0094171C" w:rsidSect="00F66462">
      <w:type w:val="continuous"/>
      <w:pgSz w:w="12240" w:h="15840"/>
      <w:pgMar w:top="432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6EC9E24A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</w:t>
      </w:r>
      <w:r w:rsidR="008D213A">
        <w:rPr>
          <w:rFonts w:ascii="Arial Narrow" w:hAnsi="Arial Narrow" w:cs="Times New Roman"/>
          <w:sz w:val="16"/>
          <w:szCs w:val="16"/>
        </w:rPr>
        <w:t xml:space="preserve"> </w:t>
      </w:r>
      <w:r w:rsidRPr="009B6DDC">
        <w:rPr>
          <w:rFonts w:ascii="Arial Narrow" w:hAnsi="Arial Narrow" w:cs="Times New Roman"/>
          <w:sz w:val="16"/>
          <w:szCs w:val="16"/>
        </w:rPr>
        <w:t>HUD. 201</w:t>
      </w:r>
      <w:r w:rsidR="00B705DA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19832B65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8D213A">
        <w:rPr>
          <w:rFonts w:ascii="Arial Narrow" w:hAnsi="Arial Narrow"/>
          <w:sz w:val="16"/>
          <w:szCs w:val="16"/>
        </w:rPr>
        <w:t xml:space="preserve"> </w:t>
      </w:r>
      <w:r w:rsidR="00E8622D">
        <w:rPr>
          <w:rFonts w:ascii="Arial Narrow" w:hAnsi="Arial Narrow"/>
          <w:sz w:val="16"/>
          <w:szCs w:val="16"/>
        </w:rPr>
        <w:t>Ibid. Specifically u</w:t>
      </w:r>
      <w:r w:rsidRPr="009B6DDC">
        <w:rPr>
          <w:rFonts w:ascii="Arial Narrow" w:hAnsi="Arial Narrow"/>
          <w:sz w:val="16"/>
          <w:szCs w:val="16"/>
        </w:rPr>
        <w:t>nits subsidized under the following programs: Section 8 Project Based Voucher program, 202 Supportive Housing for the Elderly program</w:t>
      </w:r>
      <w:r w:rsidR="004842D4">
        <w:rPr>
          <w:rFonts w:ascii="Arial Narrow" w:hAnsi="Arial Narrow"/>
          <w:sz w:val="16"/>
          <w:szCs w:val="16"/>
        </w:rPr>
        <w:t xml:space="preserve"> and</w:t>
      </w:r>
      <w:r w:rsidRPr="009B6DDC">
        <w:rPr>
          <w:rFonts w:ascii="Arial Narrow" w:hAnsi="Arial Narrow"/>
          <w:sz w:val="16"/>
          <w:szCs w:val="16"/>
        </w:rPr>
        <w:t xml:space="preserve"> 811 Supportive Housing for Persons with</w:t>
      </w:r>
      <w:r w:rsidR="008D213A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Disabilities program.</w:t>
      </w:r>
    </w:p>
  </w:endnote>
  <w:endnote w:id="3">
    <w:p w14:paraId="5C1E5AD7" w14:textId="6394300B" w:rsidR="003556E8" w:rsidRPr="008D213A" w:rsidRDefault="003556E8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="008D213A"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7E3C3887" w14:textId="0075EF7E" w:rsidR="008D213A" w:rsidRDefault="008D213A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7ABC62CA" w14:textId="6ACD2124" w:rsidR="009B6DDC" w:rsidRPr="00B705DA" w:rsidRDefault="009B6DDC" w:rsidP="009B6DDC">
      <w:pPr>
        <w:pStyle w:val="EndnoteText"/>
        <w:rPr>
          <w:rFonts w:ascii="Arial Narrow" w:hAnsi="Arial Narrow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</w:t>
      </w:r>
      <w:r w:rsidRPr="00B705DA">
        <w:rPr>
          <w:rFonts w:ascii="Arial Narrow" w:hAnsi="Arial Narrow"/>
          <w:sz w:val="16"/>
          <w:szCs w:val="16"/>
        </w:rPr>
        <w:t>HUD. 201</w:t>
      </w:r>
      <w:r w:rsidR="00A22DFD" w:rsidRPr="00B705DA">
        <w:rPr>
          <w:rFonts w:ascii="Arial Narrow" w:hAnsi="Arial Narrow"/>
          <w:sz w:val="16"/>
          <w:szCs w:val="16"/>
        </w:rPr>
        <w:t>9</w:t>
      </w:r>
      <w:r w:rsidRPr="00B705DA">
        <w:rPr>
          <w:rFonts w:ascii="Arial Narrow" w:hAnsi="Arial Narrow"/>
          <w:sz w:val="16"/>
          <w:szCs w:val="16"/>
        </w:rPr>
        <w:t>. NY 201</w:t>
      </w:r>
      <w:r w:rsidR="00A22DFD" w:rsidRPr="00B705DA">
        <w:rPr>
          <w:rFonts w:ascii="Arial Narrow" w:hAnsi="Arial Narrow"/>
          <w:sz w:val="16"/>
          <w:szCs w:val="16"/>
        </w:rPr>
        <w:t>8</w:t>
      </w:r>
      <w:r w:rsidRPr="00B705D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705DA">
        <w:rPr>
          <w:rFonts w:ascii="Arial Narrow" w:hAnsi="Arial Narrow"/>
          <w:sz w:val="16"/>
          <w:szCs w:val="16"/>
        </w:rPr>
        <w:t>CoC</w:t>
      </w:r>
      <w:proofErr w:type="spellEnd"/>
      <w:r w:rsidRPr="00B705DA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E0462B7" w14:textId="0215627F" w:rsidR="0094171C" w:rsidRPr="00B705DA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B705DA">
        <w:rPr>
          <w:rStyle w:val="EndnoteReference"/>
          <w:rFonts w:ascii="Arial Narrow" w:hAnsi="Arial Narrow"/>
          <w:sz w:val="16"/>
          <w:szCs w:val="16"/>
        </w:rPr>
        <w:endnoteRef/>
      </w:r>
      <w:r w:rsidRPr="00B705DA">
        <w:rPr>
          <w:rFonts w:ascii="Arial Narrow" w:hAnsi="Arial Narrow"/>
          <w:sz w:val="16"/>
          <w:szCs w:val="16"/>
        </w:rPr>
        <w:t xml:space="preserve"> US Census Bureau. 201</w:t>
      </w:r>
      <w:r w:rsidR="00B705DA">
        <w:rPr>
          <w:rFonts w:ascii="Arial Narrow" w:hAnsi="Arial Narrow"/>
          <w:sz w:val="16"/>
          <w:szCs w:val="16"/>
        </w:rPr>
        <w:t>8</w:t>
      </w:r>
      <w:r w:rsidRPr="00B705DA">
        <w:rPr>
          <w:rFonts w:ascii="Arial Narrow" w:hAnsi="Arial Narrow"/>
          <w:sz w:val="16"/>
          <w:szCs w:val="16"/>
        </w:rPr>
        <w:t>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B705DA">
        <w:rPr>
          <w:rStyle w:val="EndnoteReference"/>
          <w:rFonts w:ascii="Arial Narrow" w:hAnsi="Arial Narrow"/>
          <w:sz w:val="16"/>
          <w:szCs w:val="16"/>
        </w:rPr>
        <w:endnoteRef/>
      </w:r>
      <w:r w:rsidRPr="00B705DA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71BB5144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BF3A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06F14ECF">
                    <wp:simplePos x="0" y="0"/>
                    <wp:positionH relativeFrom="column">
                      <wp:posOffset>560022</wp:posOffset>
                    </wp:positionH>
                    <wp:positionV relativeFrom="paragraph">
                      <wp:posOffset>370887</wp:posOffset>
                    </wp:positionV>
                    <wp:extent cx="465826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826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729B68D3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9B6DDC">
                                  <w:rPr>
                                    <w:rFonts w:ascii="Arial Narrow" w:hAnsi="Arial Narrow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44.1pt;margin-top:29.2pt;width:36.7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71iwIAAIk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" fillcolor="white [3201]" stroked="f" strokeweight=".5pt">
                    <v:textbox>
                      <w:txbxContent>
                        <w:p w14:paraId="06EC9587" w14:textId="729B68D3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9B6DDC"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27B83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C3F6F"/>
    <w:rsid w:val="00130AFD"/>
    <w:rsid w:val="001826B0"/>
    <w:rsid w:val="001A59DD"/>
    <w:rsid w:val="002F1CDD"/>
    <w:rsid w:val="00352E8C"/>
    <w:rsid w:val="003556E8"/>
    <w:rsid w:val="00380316"/>
    <w:rsid w:val="00380A16"/>
    <w:rsid w:val="00467132"/>
    <w:rsid w:val="004761B3"/>
    <w:rsid w:val="00476EC6"/>
    <w:rsid w:val="004842D4"/>
    <w:rsid w:val="004849B9"/>
    <w:rsid w:val="004E33D3"/>
    <w:rsid w:val="005258CD"/>
    <w:rsid w:val="00580988"/>
    <w:rsid w:val="00585623"/>
    <w:rsid w:val="00597C78"/>
    <w:rsid w:val="005F4E06"/>
    <w:rsid w:val="006B1CF9"/>
    <w:rsid w:val="0071603F"/>
    <w:rsid w:val="0075017E"/>
    <w:rsid w:val="007A0E79"/>
    <w:rsid w:val="007C4100"/>
    <w:rsid w:val="007E4AC6"/>
    <w:rsid w:val="00832D80"/>
    <w:rsid w:val="00847FF5"/>
    <w:rsid w:val="00851DF4"/>
    <w:rsid w:val="0089639C"/>
    <w:rsid w:val="008B1CB5"/>
    <w:rsid w:val="008D213A"/>
    <w:rsid w:val="008F75ED"/>
    <w:rsid w:val="0094171C"/>
    <w:rsid w:val="00945A4A"/>
    <w:rsid w:val="009B6DDC"/>
    <w:rsid w:val="009E5BF8"/>
    <w:rsid w:val="00A22DFD"/>
    <w:rsid w:val="00AB4B40"/>
    <w:rsid w:val="00B04957"/>
    <w:rsid w:val="00B44DED"/>
    <w:rsid w:val="00B705DA"/>
    <w:rsid w:val="00C14316"/>
    <w:rsid w:val="00C353E9"/>
    <w:rsid w:val="00C84C1E"/>
    <w:rsid w:val="00CB6E4C"/>
    <w:rsid w:val="00D837D5"/>
    <w:rsid w:val="00E11A57"/>
    <w:rsid w:val="00E37E02"/>
    <w:rsid w:val="00E8055F"/>
    <w:rsid w:val="00E8622D"/>
    <w:rsid w:val="00ED6B80"/>
    <w:rsid w:val="00F66462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852D-6512-4C20-8198-65884F37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6</cp:revision>
  <cp:lastPrinted>2018-03-16T19:48:00Z</cp:lastPrinted>
  <dcterms:created xsi:type="dcterms:W3CDTF">2019-03-08T19:04:00Z</dcterms:created>
  <dcterms:modified xsi:type="dcterms:W3CDTF">2019-03-25T22:08:00Z</dcterms:modified>
</cp:coreProperties>
</file>